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79" w:rsidRDefault="00E81E79" w:rsidP="00E81E79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  <w:color w:val="000000"/>
        </w:rPr>
      </w:pPr>
      <w:bookmarkStart w:id="0" w:name="101275"/>
      <w:bookmarkEnd w:id="0"/>
      <w:r>
        <w:rPr>
          <w:rFonts w:ascii="inherit" w:hAnsi="inherit"/>
          <w:color w:val="000000"/>
        </w:rPr>
        <w:t>Глава 33. ОЦЕНКА СООТВЕТСТВИЯ ОБЪЕКТОВ ЗАЩИТЫ (ПРОДУКЦИИ)</w:t>
      </w:r>
    </w:p>
    <w:p w:rsidR="00E81E79" w:rsidRDefault="00E81E79" w:rsidP="00E81E79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ТРЕБОВАНИЯМ ПОЖАРНОЙ БЕЗОПАСНОСТИ</w:t>
      </w:r>
    </w:p>
    <w:p w:rsidR="00E81E79" w:rsidRDefault="00E81E79" w:rsidP="00E81E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1" w:name="101276"/>
      <w:bookmarkEnd w:id="1"/>
      <w:r>
        <w:rPr>
          <w:rFonts w:ascii="inherit" w:hAnsi="inherit"/>
          <w:color w:val="000000"/>
        </w:rPr>
        <w:t>Статья 144. Формы оценки соответствия объектов защиты (продукции) требованиям пожарной безопасности</w:t>
      </w:r>
    </w:p>
    <w:p w:rsidR="00E81E79" w:rsidRDefault="00E81E79" w:rsidP="00E81E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2" w:name="102220"/>
      <w:bookmarkStart w:id="3" w:name="101277"/>
      <w:bookmarkEnd w:id="2"/>
      <w:bookmarkEnd w:id="3"/>
      <w:r>
        <w:rPr>
          <w:rFonts w:ascii="inherit" w:hAnsi="inherit"/>
          <w:color w:val="000000"/>
        </w:rPr>
        <w:t xml:space="preserve">1. Оценка соответствия объектов защиты (продукции), организаций, осуществляющих подтверждение соответствия процессов проектирования, производства, строительства, монтажа, наладки, эксплуатации, хранения, перевозки, реализации и утилизации, требованиям пожарной безопасности, установленным техническими регламентами, принятыми в соответствии с Федеральным </w:t>
      </w:r>
      <w:hyperlink r:id="rId4" w:history="1">
        <w:r>
          <w:rPr>
            <w:rStyle w:val="a3"/>
            <w:rFonts w:ascii="inherit" w:hAnsi="inherit"/>
            <w:color w:val="005EA5"/>
            <w:bdr w:val="none" w:sz="0" w:space="0" w:color="auto" w:frame="1"/>
          </w:rPr>
          <w:t>законом</w:t>
        </w:r>
      </w:hyperlink>
      <w:r>
        <w:rPr>
          <w:rFonts w:ascii="inherit" w:hAnsi="inherit"/>
          <w:color w:val="000000"/>
        </w:rPr>
        <w:t xml:space="preserve"> "О техническом регулировании", нормативными документами по пожарной безопасности, и условиям договоров проводится в формах:</w:t>
      </w:r>
    </w:p>
    <w:p w:rsidR="00E81E79" w:rsidRDefault="00E81E79" w:rsidP="00E81E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4" w:name="101278"/>
      <w:bookmarkEnd w:id="4"/>
      <w:r>
        <w:rPr>
          <w:rFonts w:ascii="inherit" w:hAnsi="inherit"/>
          <w:color w:val="000000"/>
        </w:rPr>
        <w:t>1) аккредитации;</w:t>
      </w:r>
    </w:p>
    <w:p w:rsidR="00E81E79" w:rsidRDefault="00E81E79" w:rsidP="00E81E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5" w:name="101279"/>
      <w:bookmarkEnd w:id="5"/>
      <w:r>
        <w:rPr>
          <w:rFonts w:ascii="inherit" w:hAnsi="inherit"/>
          <w:color w:val="000000"/>
        </w:rPr>
        <w:t>2) независимой оценки пожарного риска (аудита пожарной безопасности);</w:t>
      </w:r>
    </w:p>
    <w:p w:rsidR="00E81E79" w:rsidRDefault="00E81E79" w:rsidP="00E81E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6" w:name="102221"/>
      <w:bookmarkStart w:id="7" w:name="101280"/>
      <w:bookmarkEnd w:id="6"/>
      <w:bookmarkEnd w:id="7"/>
      <w:r>
        <w:rPr>
          <w:rFonts w:ascii="inherit" w:hAnsi="inherit"/>
          <w:color w:val="000000"/>
        </w:rPr>
        <w:t>3) федерального государственного пожарного надзора;</w:t>
      </w:r>
    </w:p>
    <w:p w:rsidR="00E81E79" w:rsidRDefault="00E81E79" w:rsidP="00E81E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8" w:name="101281"/>
      <w:bookmarkEnd w:id="8"/>
      <w:r>
        <w:rPr>
          <w:rFonts w:ascii="inherit" w:hAnsi="inherit"/>
          <w:color w:val="000000"/>
        </w:rPr>
        <w:t>4) декларирования пожарной безопасности;</w:t>
      </w:r>
    </w:p>
    <w:p w:rsidR="00E81E79" w:rsidRDefault="00E81E79" w:rsidP="00E81E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9" w:name="101282"/>
      <w:bookmarkEnd w:id="9"/>
      <w:r>
        <w:rPr>
          <w:rFonts w:ascii="inherit" w:hAnsi="inherit"/>
          <w:color w:val="000000"/>
        </w:rPr>
        <w:t>5) исследований (испытаний);</w:t>
      </w:r>
    </w:p>
    <w:p w:rsidR="00E81E79" w:rsidRDefault="00E81E79" w:rsidP="00E81E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10" w:name="101283"/>
      <w:bookmarkEnd w:id="10"/>
      <w:r>
        <w:rPr>
          <w:rFonts w:ascii="inherit" w:hAnsi="inherit"/>
          <w:color w:val="000000"/>
        </w:rPr>
        <w:t>6) подтверждения соответствия объектов защиты (продукции);</w:t>
      </w:r>
    </w:p>
    <w:p w:rsidR="00E81E79" w:rsidRDefault="00E81E79" w:rsidP="00E81E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11" w:name="101284"/>
      <w:bookmarkEnd w:id="11"/>
      <w:r>
        <w:rPr>
          <w:rFonts w:ascii="inherit" w:hAnsi="inherit"/>
          <w:color w:val="000000"/>
        </w:rPr>
        <w:t>7) приемки и ввода в эксплуатацию объектов защиты (продукции), а также систем пожарной безопасности;</w:t>
      </w:r>
    </w:p>
    <w:p w:rsidR="00E81E79" w:rsidRDefault="00E81E79" w:rsidP="00E81E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12" w:name="101285"/>
      <w:bookmarkEnd w:id="12"/>
      <w:r>
        <w:rPr>
          <w:rFonts w:ascii="inherit" w:hAnsi="inherit"/>
          <w:color w:val="000000"/>
        </w:rPr>
        <w:t>8) производственного контроля;</w:t>
      </w:r>
    </w:p>
    <w:p w:rsidR="00E81E79" w:rsidRDefault="00E81E79" w:rsidP="00E81E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13" w:name="101286"/>
      <w:bookmarkEnd w:id="13"/>
      <w:r>
        <w:rPr>
          <w:rFonts w:ascii="inherit" w:hAnsi="inherit"/>
          <w:color w:val="000000"/>
        </w:rPr>
        <w:t>9) экспертизы.</w:t>
      </w:r>
    </w:p>
    <w:p w:rsidR="00E81E79" w:rsidRDefault="00E81E79" w:rsidP="00E81E79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14" w:name="101287"/>
      <w:bookmarkEnd w:id="14"/>
      <w:r>
        <w:rPr>
          <w:rFonts w:ascii="inherit" w:hAnsi="inherit"/>
          <w:color w:val="000000"/>
        </w:rPr>
        <w:t>2. Порядок оценки соответствия объектов защиты (продукции)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Федерации.</w:t>
      </w:r>
    </w:p>
    <w:p w:rsidR="00D1211F" w:rsidRDefault="00E753A5"/>
    <w:p w:rsidR="00E81E79" w:rsidRDefault="00E81E79"/>
    <w:p w:rsidR="00E81E79" w:rsidRDefault="00E81E79">
      <w:pPr>
        <w:rPr>
          <w:rFonts w:ascii="inherit" w:hAnsi="inherit"/>
          <w:color w:val="000000"/>
          <w:shd w:val="clear" w:color="auto" w:fill="FFFFFF"/>
        </w:rPr>
      </w:pPr>
      <w:bookmarkStart w:id="15" w:name="100042"/>
      <w:bookmarkEnd w:id="15"/>
      <w:r>
        <w:rPr>
          <w:rFonts w:ascii="inherit" w:hAnsi="inherit"/>
          <w:color w:val="000000"/>
          <w:shd w:val="clear" w:color="auto" w:fill="FFFFFF"/>
        </w:rPr>
        <w:t xml:space="preserve">23) пожарная сигнализация - совокупность технических средств, предназначенных для обнаружения пожара, обработки, передачи в заданном виде извещения о пожаре, специальной информации и (или) выдачи команд на включение автоматических установок пожаротушения и включение исполнительных установок систем </w:t>
      </w:r>
      <w:proofErr w:type="spellStart"/>
      <w:r>
        <w:rPr>
          <w:rFonts w:ascii="inherit" w:hAnsi="inherit"/>
          <w:color w:val="000000"/>
          <w:shd w:val="clear" w:color="auto" w:fill="FFFFFF"/>
        </w:rPr>
        <w:t>противодымной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защиты, технологического и инженерного оборудования, а также других устройств противопожарной защиты;</w:t>
      </w:r>
    </w:p>
    <w:p w:rsidR="00E81E79" w:rsidRDefault="00E81E79">
      <w:pPr>
        <w:rPr>
          <w:rFonts w:ascii="inherit" w:hAnsi="inherit"/>
          <w:color w:val="000000"/>
          <w:shd w:val="clear" w:color="auto" w:fill="FFFFFF"/>
        </w:rPr>
      </w:pPr>
      <w:bookmarkStart w:id="16" w:name="100045"/>
      <w:bookmarkEnd w:id="16"/>
      <w:r>
        <w:rPr>
          <w:rFonts w:ascii="inherit" w:hAnsi="inherit"/>
          <w:color w:val="000000"/>
          <w:shd w:val="clear" w:color="auto" w:fill="FFFFFF"/>
        </w:rPr>
        <w:t xml:space="preserve">26) пожарный </w:t>
      </w:r>
      <w:proofErr w:type="spellStart"/>
      <w:r>
        <w:rPr>
          <w:rFonts w:ascii="inherit" w:hAnsi="inherit"/>
          <w:color w:val="000000"/>
          <w:shd w:val="clear" w:color="auto" w:fill="FFFFFF"/>
        </w:rPr>
        <w:t>оповещатель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- техническое средство, предназначенное для оповещения людей о пожаре;</w:t>
      </w:r>
    </w:p>
    <w:p w:rsidR="00E81E79" w:rsidRDefault="00D06A31">
      <w:pPr>
        <w:rPr>
          <w:rFonts w:ascii="inherit" w:hAnsi="inherit"/>
          <w:color w:val="000000"/>
          <w:shd w:val="clear" w:color="auto" w:fill="FFFFFF"/>
        </w:rPr>
      </w:pPr>
      <w:r>
        <w:rPr>
          <w:rFonts w:ascii="inherit" w:hAnsi="inherit"/>
          <w:color w:val="000000"/>
          <w:shd w:val="clear" w:color="auto" w:fill="FFFFFF"/>
        </w:rPr>
        <w:t xml:space="preserve">38) </w:t>
      </w:r>
      <w:r w:rsidR="00E81E79">
        <w:rPr>
          <w:rFonts w:ascii="inherit" w:hAnsi="inherit"/>
          <w:color w:val="000000"/>
          <w:shd w:val="clear" w:color="auto" w:fill="FFFFFF"/>
        </w:rPr>
        <w:t>система пожарной сигнализации - совокупность установок пожарной сигнализации, смонтированных на одном объекте и контролируемых с общего пожарного поста;</w:t>
      </w:r>
    </w:p>
    <w:p w:rsidR="00D06A31" w:rsidRDefault="00D06A31">
      <w:pPr>
        <w:rPr>
          <w:rFonts w:ascii="inherit" w:hAnsi="inherit"/>
          <w:color w:val="000000"/>
          <w:shd w:val="clear" w:color="auto" w:fill="FFFFFF"/>
        </w:rPr>
      </w:pPr>
      <w:bookmarkStart w:id="17" w:name="100064"/>
      <w:bookmarkEnd w:id="17"/>
      <w:r>
        <w:rPr>
          <w:rFonts w:ascii="inherit" w:hAnsi="inherit"/>
          <w:color w:val="000000"/>
          <w:shd w:val="clear" w:color="auto" w:fill="FFFFFF"/>
        </w:rPr>
        <w:t xml:space="preserve">45) технические средства оповещения и управления эвакуацией - совокупность технических средств (приборов управления </w:t>
      </w:r>
      <w:proofErr w:type="spellStart"/>
      <w:r>
        <w:rPr>
          <w:rFonts w:ascii="inherit" w:hAnsi="inherit"/>
          <w:color w:val="000000"/>
          <w:shd w:val="clear" w:color="auto" w:fill="FFFFFF"/>
        </w:rPr>
        <w:t>оповещателями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, пожарных </w:t>
      </w:r>
      <w:proofErr w:type="spellStart"/>
      <w:r>
        <w:rPr>
          <w:rFonts w:ascii="inherit" w:hAnsi="inherit"/>
          <w:color w:val="000000"/>
          <w:shd w:val="clear" w:color="auto" w:fill="FFFFFF"/>
        </w:rPr>
        <w:t>оповещателей</w:t>
      </w:r>
      <w:proofErr w:type="spellEnd"/>
      <w:r>
        <w:rPr>
          <w:rFonts w:ascii="inherit" w:hAnsi="inherit"/>
          <w:color w:val="000000"/>
          <w:shd w:val="clear" w:color="auto" w:fill="FFFFFF"/>
        </w:rPr>
        <w:t>), предназначенных для оповещения людей о пожаре;</w:t>
      </w:r>
    </w:p>
    <w:p w:rsidR="00D06A31" w:rsidRDefault="00D06A31">
      <w:pPr>
        <w:rPr>
          <w:rFonts w:ascii="inherit" w:hAnsi="inherit"/>
          <w:color w:val="000000"/>
          <w:shd w:val="clear" w:color="auto" w:fill="FFFFFF"/>
        </w:rPr>
      </w:pPr>
      <w:bookmarkStart w:id="18" w:name="100067"/>
      <w:bookmarkEnd w:id="18"/>
      <w:r>
        <w:rPr>
          <w:rFonts w:ascii="inherit" w:hAnsi="inherit"/>
          <w:color w:val="000000"/>
          <w:shd w:val="clear" w:color="auto" w:fill="FFFFFF"/>
        </w:rPr>
        <w:t>48) эвакуационный выход - выход, ведущий на путь эвакуации, непосредственно наружу или в безопасную зону;</w:t>
      </w:r>
    </w:p>
    <w:p w:rsidR="00D06A31" w:rsidRDefault="00D06A31">
      <w:pPr>
        <w:rPr>
          <w:rFonts w:ascii="inherit" w:hAnsi="inherit"/>
          <w:color w:val="000000"/>
          <w:shd w:val="clear" w:color="auto" w:fill="FFFFFF"/>
        </w:rPr>
      </w:pPr>
    </w:p>
    <w:p w:rsidR="00D06A31" w:rsidRDefault="00D06A31">
      <w:pPr>
        <w:rPr>
          <w:rFonts w:ascii="inherit" w:hAnsi="inherit"/>
          <w:color w:val="000000"/>
          <w:shd w:val="clear" w:color="auto" w:fill="FFFFFF"/>
        </w:rPr>
      </w:pPr>
    </w:p>
    <w:p w:rsidR="00D06A31" w:rsidRDefault="00D06A31" w:rsidP="00D06A31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  <w:color w:val="000000"/>
        </w:rPr>
      </w:pPr>
      <w:bookmarkStart w:id="19" w:name="101038"/>
      <w:bookmarkEnd w:id="19"/>
      <w:r>
        <w:rPr>
          <w:rFonts w:ascii="inherit" w:hAnsi="inherit"/>
          <w:color w:val="000000"/>
        </w:rPr>
        <w:lastRenderedPageBreak/>
        <w:t>Глава 24. ТРЕБОВАНИЯ К ПЕРВИЧНЫМ СРЕДСТВАМ ПОЖАРОТУШЕНИЯ</w:t>
      </w:r>
    </w:p>
    <w:p w:rsidR="00D06A31" w:rsidRDefault="00D06A31" w:rsidP="00D06A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20" w:name="101039"/>
      <w:bookmarkEnd w:id="20"/>
      <w:r>
        <w:rPr>
          <w:rFonts w:ascii="inherit" w:hAnsi="inherit"/>
          <w:color w:val="000000"/>
        </w:rPr>
        <w:t>Статья 105. Требования к огнетушителям</w:t>
      </w:r>
    </w:p>
    <w:p w:rsidR="00D06A31" w:rsidRDefault="00D06A31" w:rsidP="00D06A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21" w:name="101040"/>
      <w:bookmarkEnd w:id="21"/>
      <w:r>
        <w:rPr>
          <w:rFonts w:ascii="inherit" w:hAnsi="inherit"/>
          <w:color w:val="000000"/>
        </w:rPr>
        <w:t>1. Переносные и передвижные огнетушители должны обеспечивать тушение пожара одним человеком на площади, указанной в технической документации организации-изготовителя.</w:t>
      </w:r>
    </w:p>
    <w:p w:rsidR="00D06A31" w:rsidRDefault="00D06A31" w:rsidP="00D06A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22" w:name="101041"/>
      <w:bookmarkEnd w:id="22"/>
      <w:r>
        <w:rPr>
          <w:rFonts w:ascii="inherit" w:hAnsi="inherit"/>
          <w:color w:val="000000"/>
        </w:rPr>
        <w:t>2. Технические характеристики переносных и передвижных огнетушителей должны обеспечивать безопасность человека при тушении пожара.</w:t>
      </w:r>
    </w:p>
    <w:p w:rsidR="00D06A31" w:rsidRDefault="00D06A31" w:rsidP="00D06A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23" w:name="101042"/>
      <w:bookmarkEnd w:id="23"/>
      <w:r>
        <w:rPr>
          <w:rFonts w:ascii="inherit" w:hAnsi="inherit"/>
          <w:color w:val="000000"/>
        </w:rPr>
        <w:t>3.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пожара.</w:t>
      </w:r>
    </w:p>
    <w:p w:rsidR="00D06A31" w:rsidRDefault="00D06A31" w:rsidP="00D06A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24" w:name="101043"/>
      <w:bookmarkEnd w:id="24"/>
      <w:r>
        <w:rPr>
          <w:rFonts w:ascii="inherit" w:hAnsi="inherit"/>
          <w:color w:val="000000"/>
        </w:rPr>
        <w:t>Статья 106. Требования к пожарным кранам</w:t>
      </w:r>
    </w:p>
    <w:p w:rsidR="00D06A31" w:rsidRDefault="00D06A31" w:rsidP="00D06A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25" w:name="101044"/>
      <w:bookmarkEnd w:id="25"/>
      <w:r>
        <w:rPr>
          <w:rFonts w:ascii="inherit" w:hAnsi="inherit"/>
          <w:color w:val="000000"/>
        </w:rPr>
        <w:t>1. Конструкция пожарных кранов должна обеспечивать возможность открывания запорного устройства одним человеком и подачи воды с интенсивностью, обеспечивающей тушение пожара.</w:t>
      </w:r>
    </w:p>
    <w:p w:rsidR="00D06A31" w:rsidRDefault="00D06A31" w:rsidP="00D06A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26" w:name="101045"/>
      <w:bookmarkEnd w:id="26"/>
      <w:r>
        <w:rPr>
          <w:rFonts w:ascii="inherit" w:hAnsi="inherit"/>
          <w:color w:val="000000"/>
        </w:rPr>
        <w:t>2. Конструкция соединительных головок пожарных кранов должна позволять подсоединять к ним пожарные рукава, используемые в подразделениях пожарной охраны.</w:t>
      </w:r>
    </w:p>
    <w:p w:rsidR="00D06A31" w:rsidRDefault="00D06A31" w:rsidP="00D06A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27" w:name="101046"/>
      <w:bookmarkEnd w:id="27"/>
      <w:r>
        <w:rPr>
          <w:rFonts w:ascii="inherit" w:hAnsi="inherit"/>
          <w:color w:val="000000"/>
        </w:rPr>
        <w:t>Статья 107. Требования к пожарным шкафам</w:t>
      </w:r>
    </w:p>
    <w:p w:rsidR="00D06A31" w:rsidRDefault="00D06A31" w:rsidP="00D06A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28" w:name="102177"/>
      <w:bookmarkStart w:id="29" w:name="101047"/>
      <w:bookmarkEnd w:id="28"/>
      <w:bookmarkEnd w:id="29"/>
      <w:r>
        <w:rPr>
          <w:rFonts w:ascii="inherit" w:hAnsi="inherit"/>
          <w:color w:val="000000"/>
        </w:rPr>
        <w:t>1. Пожарные шкафы и многофункциональные интегрированные пожарные шкафы должны обеспечивать размещение и хранение в них первичных средств пожаротушения.</w:t>
      </w:r>
    </w:p>
    <w:p w:rsidR="00D06A31" w:rsidRDefault="00D06A31" w:rsidP="00D06A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30" w:name="101048"/>
      <w:bookmarkEnd w:id="30"/>
      <w:r>
        <w:rPr>
          <w:rFonts w:ascii="inherit" w:hAnsi="inherit"/>
          <w:color w:val="000000"/>
        </w:rPr>
        <w:t>2.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оборудование.</w:t>
      </w:r>
    </w:p>
    <w:p w:rsidR="00D06A31" w:rsidRDefault="00D06A31" w:rsidP="00D06A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31" w:name="101049"/>
      <w:bookmarkEnd w:id="31"/>
      <w:r>
        <w:rPr>
          <w:rFonts w:ascii="inherit" w:hAnsi="inherit"/>
          <w:color w:val="000000"/>
        </w:rPr>
        <w:t>3.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эвакуации.</w:t>
      </w:r>
    </w:p>
    <w:p w:rsidR="00D06A31" w:rsidRDefault="00D06A31" w:rsidP="00D06A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32" w:name="101050"/>
      <w:bookmarkEnd w:id="32"/>
      <w:r>
        <w:rPr>
          <w:rFonts w:ascii="inherit" w:hAnsi="inherit"/>
          <w:color w:val="000000"/>
        </w:rPr>
        <w:t>4. Пожарные шкафы и многофункциональные интегрированные пожарные шкафы должны быть изготовлены из негорючих материалов.</w:t>
      </w:r>
    </w:p>
    <w:p w:rsidR="00D06A31" w:rsidRDefault="00D06A31" w:rsidP="00D06A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  <w:color w:val="000000"/>
        </w:rPr>
      </w:pPr>
      <w:bookmarkStart w:id="33" w:name="101051"/>
      <w:bookmarkEnd w:id="33"/>
      <w:r>
        <w:rPr>
          <w:rFonts w:ascii="inherit" w:hAnsi="inherit"/>
          <w:color w:val="000000"/>
        </w:rPr>
        <w:t xml:space="preserve">5.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безопасности, принятыми в соответствии со </w:t>
      </w:r>
      <w:hyperlink r:id="rId5" w:anchor="100072" w:history="1">
        <w:r>
          <w:rPr>
            <w:rStyle w:val="a3"/>
            <w:rFonts w:ascii="inherit" w:hAnsi="inherit"/>
            <w:color w:val="005EA5"/>
            <w:bdr w:val="none" w:sz="0" w:space="0" w:color="auto" w:frame="1"/>
          </w:rPr>
          <w:t>статьей 4</w:t>
        </w:r>
      </w:hyperlink>
      <w:r>
        <w:rPr>
          <w:rFonts w:ascii="inherit" w:hAnsi="inherit"/>
          <w:color w:val="000000"/>
        </w:rPr>
        <w:t xml:space="preserve"> настоящего Федерального закона.</w:t>
      </w:r>
    </w:p>
    <w:p w:rsidR="009C3103" w:rsidRDefault="009C3103">
      <w:pPr>
        <w:rPr>
          <w:rFonts w:ascii="inherit" w:hAnsi="inherit"/>
          <w:color w:val="3B4256"/>
          <w:spacing w:val="-6"/>
          <w:sz w:val="48"/>
          <w:szCs w:val="48"/>
          <w:shd w:val="clear" w:color="auto" w:fill="FFFFFF"/>
        </w:rPr>
      </w:pPr>
    </w:p>
    <w:p w:rsidR="00D06A31" w:rsidRDefault="009C3103">
      <w:bookmarkStart w:id="34" w:name="_GoBack"/>
      <w:bookmarkEnd w:id="34"/>
      <w:r>
        <w:rPr>
          <w:rFonts w:ascii="inherit" w:hAnsi="inherit"/>
          <w:color w:val="3B4256"/>
          <w:spacing w:val="-6"/>
          <w:sz w:val="48"/>
          <w:szCs w:val="48"/>
          <w:shd w:val="clear" w:color="auto" w:fill="FFFFFF"/>
        </w:rPr>
        <w:t>Уважаемые граждане, предоставление государственных услуг в электронном виде осуществляется через Единый портал государственных услуг https://www.gosuslugi.ru/</w:t>
      </w:r>
    </w:p>
    <w:sectPr w:rsidR="00D0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43"/>
    <w:rsid w:val="00151543"/>
    <w:rsid w:val="005E7C4A"/>
    <w:rsid w:val="009C3103"/>
    <w:rsid w:val="00BF5063"/>
    <w:rsid w:val="00D06A31"/>
    <w:rsid w:val="00E753A5"/>
    <w:rsid w:val="00E8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9535-4064-4840-B8B8-CCF58DEF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8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8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1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FZ-Teh-reglament-o-trebovanijah-pozharnoj-bezopasnosti/" TargetMode="External"/><Relationship Id="rId4" Type="http://schemas.openxmlformats.org/officeDocument/2006/relationships/hyperlink" Target="https://legalacts.ru/doc/federalnyi-zakon-ot-27122002-n-184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Shu</dc:creator>
  <cp:keywords/>
  <dc:description/>
  <cp:lastModifiedBy>Alex Shu</cp:lastModifiedBy>
  <cp:revision>2</cp:revision>
  <cp:lastPrinted>2020-06-30T09:44:00Z</cp:lastPrinted>
  <dcterms:created xsi:type="dcterms:W3CDTF">2020-06-30T09:44:00Z</dcterms:created>
  <dcterms:modified xsi:type="dcterms:W3CDTF">2020-06-30T10:45:00Z</dcterms:modified>
</cp:coreProperties>
</file>